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250" w:tblpY="62"/>
        <w:tblW w:w="10456" w:type="dxa"/>
        <w:tblLayout w:type="fixed"/>
        <w:tblLook w:val="04A0"/>
      </w:tblPr>
      <w:tblGrid>
        <w:gridCol w:w="1384"/>
        <w:gridCol w:w="4853"/>
        <w:gridCol w:w="4219"/>
      </w:tblGrid>
      <w:tr w:rsidR="00C97338" w:rsidRPr="00A37813" w:rsidTr="00952329">
        <w:trPr>
          <w:trHeight w:val="699"/>
        </w:trPr>
        <w:tc>
          <w:tcPr>
            <w:tcW w:w="1384" w:type="dxa"/>
            <w:vAlign w:val="center"/>
          </w:tcPr>
          <w:p w:rsidR="00C97338" w:rsidRPr="00A37813" w:rsidRDefault="00C97338" w:rsidP="00C97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853" w:type="dxa"/>
            <w:vAlign w:val="center"/>
          </w:tcPr>
          <w:p w:rsidR="00C97338" w:rsidRPr="00A37813" w:rsidRDefault="00C97338" w:rsidP="00C97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219" w:type="dxa"/>
            <w:vAlign w:val="center"/>
          </w:tcPr>
          <w:p w:rsidR="00C97338" w:rsidRPr="00A37813" w:rsidRDefault="00C97338" w:rsidP="00C97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C97338" w:rsidRPr="00A37813" w:rsidTr="00952329">
        <w:trPr>
          <w:trHeight w:val="699"/>
        </w:trPr>
        <w:tc>
          <w:tcPr>
            <w:tcW w:w="1384" w:type="dxa"/>
            <w:vAlign w:val="center"/>
          </w:tcPr>
          <w:p w:rsidR="00C97338" w:rsidRPr="00C97338" w:rsidRDefault="00C97338" w:rsidP="00C97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38">
              <w:rPr>
                <w:rFonts w:ascii="Times New Roman" w:hAnsi="Times New Roman" w:cs="Times New Roman"/>
                <w:color w:val="000000"/>
              </w:rPr>
              <w:t>825/871/17</w:t>
            </w:r>
          </w:p>
        </w:tc>
        <w:tc>
          <w:tcPr>
            <w:tcW w:w="4853" w:type="dxa"/>
            <w:vAlign w:val="center"/>
          </w:tcPr>
          <w:p w:rsidR="00C97338" w:rsidRPr="00C97338" w:rsidRDefault="00C97338" w:rsidP="00C97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38">
              <w:rPr>
                <w:rFonts w:ascii="Times New Roman" w:hAnsi="Times New Roman" w:cs="Times New Roman"/>
                <w:color w:val="000000"/>
              </w:rPr>
              <w:t>скасування рішення про коригування митної вартості та картки відмови</w:t>
            </w:r>
          </w:p>
        </w:tc>
        <w:tc>
          <w:tcPr>
            <w:tcW w:w="4219" w:type="dxa"/>
            <w:vAlign w:val="center"/>
          </w:tcPr>
          <w:p w:rsidR="00C97338" w:rsidRPr="00C97338" w:rsidRDefault="00C97338" w:rsidP="00C9733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Pr="00C97338">
                <w:rPr>
                  <w:rStyle w:val="a4"/>
                  <w:rFonts w:ascii="Times New Roman" w:hAnsi="Times New Roman" w:cs="Times New Roman"/>
                </w:rPr>
                <w:t>http://www.reyestr.court.gov.ua/Review/76418767</w:t>
              </w:r>
            </w:hyperlink>
          </w:p>
        </w:tc>
      </w:tr>
    </w:tbl>
    <w:p w:rsidR="00F812E2" w:rsidRDefault="00F812E2" w:rsidP="00C97338"/>
    <w:sectPr w:rsidR="00F812E2" w:rsidSect="00C97338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97338"/>
    <w:rsid w:val="00952329"/>
    <w:rsid w:val="00C97338"/>
    <w:rsid w:val="00F8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yestr.court.gov.ua/Review/76418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u04-gonta</cp:lastModifiedBy>
  <cp:revision>2</cp:revision>
  <dcterms:created xsi:type="dcterms:W3CDTF">2018-10-02T11:14:00Z</dcterms:created>
  <dcterms:modified xsi:type="dcterms:W3CDTF">2018-10-02T11:34:00Z</dcterms:modified>
</cp:coreProperties>
</file>